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ED2998" w:rsidTr="00ED2998">
        <w:trPr>
          <w:trHeight w:val="1615"/>
        </w:trPr>
        <w:tc>
          <w:tcPr>
            <w:tcW w:w="4291" w:type="dxa"/>
          </w:tcPr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ED2998" w:rsidRDefault="00ED29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D2998" w:rsidRDefault="00ED2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ED2998" w:rsidRDefault="00ED299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ED2998" w:rsidRDefault="00ED2998" w:rsidP="00ED2998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6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  <w:t>27 января 2016 г</w:t>
      </w:r>
    </w:p>
    <w:p w:rsidR="00ED2998" w:rsidRDefault="00ED2998" w:rsidP="00ED2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жилого помещения </w:t>
      </w:r>
      <w:proofErr w:type="gramStart"/>
      <w:r>
        <w:rPr>
          <w:rFonts w:ascii="Times New Roman" w:hAnsi="Times New Roman"/>
          <w:b/>
          <w:sz w:val="28"/>
          <w:szCs w:val="28"/>
        </w:rPr>
        <w:t>непригодным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2998" w:rsidRDefault="00ED2998" w:rsidP="00ED2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постоянного проживания </w:t>
      </w:r>
    </w:p>
    <w:p w:rsidR="00ED2998" w:rsidRDefault="00ED2998" w:rsidP="00ED2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998" w:rsidRDefault="00ED2998" w:rsidP="00ED299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ст.15 и 32 Жилищного кодекса Российской Федерации, постановлением Правительства Российской Федерации от 28.012006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на основании заключения № 3 от 26 января 2016 Межведомственной комиссии по признанию помещения жилым помещением, жилого помещения непригодным для проживания и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 заключения проектно-изыскательной организации по результатам обследования элементов ограждающих и несущих конструкций жилого помещения Администрация муниципального образования «Зеленогорское сельское поселение» ПОСТАНОВЛЯЕТ:</w:t>
      </w:r>
    </w:p>
    <w:p w:rsidR="00ED2998" w:rsidRDefault="00ED2998" w:rsidP="00ED29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непригодным для постоянного проживания в связи с наличием факторов не позволяющих обеспечить безопасность жизни и здоровья граждан </w:t>
      </w:r>
      <w:proofErr w:type="gramStart"/>
      <w:r>
        <w:rPr>
          <w:rFonts w:ascii="Times New Roman" w:hAnsi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ухудшения в связи с физическим износом в процессе эксплуатации здания эксплуатационных характеристик жилой дом по адресу: РМЭ, Моркинский район, п.Зеленогорск,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83B6D">
        <w:rPr>
          <w:rFonts w:ascii="Times New Roman" w:hAnsi="Times New Roman"/>
          <w:sz w:val="28"/>
          <w:szCs w:val="28"/>
        </w:rPr>
        <w:t>К</w:t>
      </w:r>
      <w:proofErr w:type="gramEnd"/>
      <w:r w:rsidR="00483B6D">
        <w:rPr>
          <w:rFonts w:ascii="Times New Roman" w:hAnsi="Times New Roman"/>
          <w:sz w:val="28"/>
          <w:szCs w:val="28"/>
        </w:rPr>
        <w:t>ооперативная, д.6, кв.4</w:t>
      </w:r>
      <w:r>
        <w:rPr>
          <w:rFonts w:ascii="Times New Roman" w:hAnsi="Times New Roman"/>
          <w:sz w:val="28"/>
          <w:szCs w:val="28"/>
        </w:rPr>
        <w:t>.</w:t>
      </w:r>
    </w:p>
    <w:p w:rsidR="00ED2998" w:rsidRDefault="00ED2998" w:rsidP="00ED29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483B6D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3B6D">
        <w:rPr>
          <w:rFonts w:ascii="Times New Roman" w:hAnsi="Times New Roman"/>
          <w:sz w:val="28"/>
          <w:szCs w:val="28"/>
        </w:rPr>
        <w:t>Хорошаеву</w:t>
      </w:r>
      <w:proofErr w:type="spellEnd"/>
      <w:r w:rsidR="00483B6D">
        <w:rPr>
          <w:rFonts w:ascii="Times New Roman" w:hAnsi="Times New Roman"/>
          <w:sz w:val="28"/>
          <w:szCs w:val="28"/>
        </w:rPr>
        <w:t xml:space="preserve"> Сергею </w:t>
      </w:r>
      <w:proofErr w:type="spellStart"/>
      <w:r w:rsidR="00483B6D">
        <w:rPr>
          <w:rFonts w:ascii="Times New Roman" w:hAnsi="Times New Roman"/>
          <w:sz w:val="28"/>
          <w:szCs w:val="28"/>
        </w:rPr>
        <w:t>Игорьевичу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срочно провести противоаварийные мероприятия.</w:t>
      </w:r>
    </w:p>
    <w:p w:rsidR="00ED2998" w:rsidRDefault="00ED2998" w:rsidP="00ED2998">
      <w:pPr>
        <w:jc w:val="both"/>
        <w:rPr>
          <w:rFonts w:ascii="Times New Roman" w:hAnsi="Times New Roman"/>
          <w:sz w:val="28"/>
          <w:szCs w:val="28"/>
        </w:rPr>
      </w:pPr>
    </w:p>
    <w:p w:rsidR="00ED2998" w:rsidRDefault="00ED2998" w:rsidP="00ED2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  <w:r>
        <w:rPr>
          <w:rFonts w:ascii="Times New Roman" w:hAnsi="Times New Roman"/>
          <w:sz w:val="28"/>
          <w:szCs w:val="28"/>
        </w:rPr>
        <w:br/>
        <w:t>«Зеленогорское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Ю.Н.Антюшин</w:t>
      </w:r>
      <w:proofErr w:type="spellEnd"/>
    </w:p>
    <w:p w:rsidR="00E97309" w:rsidRDefault="00E97309"/>
    <w:sectPr w:rsidR="00E97309" w:rsidSect="00E9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998"/>
    <w:rsid w:val="00483B6D"/>
    <w:rsid w:val="00E20D5F"/>
    <w:rsid w:val="00E97309"/>
    <w:rsid w:val="00E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9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4__x0430__x0442__x0430__x0020__x0434__x043e__x043a__x0443__x043c__x0435__x043d__x0442__x0430_ xmlns="10a252c9-3a6a-4dfb-bb66-644ab572be97">2016-01-26T21:00:00+00:00</_x0414__x0430__x0442__x0430__x0020__x0434__x043e__x043a__x0443__x043c__x0435__x043d__x0442__x0430_>
    <_x2116__x0020__x0434__x043e__x043a__x0443__x043c__x0435__x043d__x0442__x0430_ xmlns="10a252c9-3a6a-4dfb-bb66-644ab572be97">6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XXJ7TYMEEKJ2-4230-107</_dlc_DocId>
    <_dlc_DocIdUrl xmlns="57504d04-691e-4fc4-8f09-4f19fdbe90f6">
      <Url>http://spsearch.gov.mari.ru:32643/morki/zelenogorsk/_layouts/DocIdRedir.aspx?ID=XXJ7TYMEEKJ2-4230-107</Url>
      <Description>XXJ7TYMEEKJ2-4230-107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23330-A032-4EF5-80E6-C1BA6FCF797B}"/>
</file>

<file path=customXml/itemProps2.xml><?xml version="1.0" encoding="utf-8"?>
<ds:datastoreItem xmlns:ds="http://schemas.openxmlformats.org/officeDocument/2006/customXml" ds:itemID="{A06D5001-E984-4FFF-83DA-272501BEAC58}"/>
</file>

<file path=customXml/itemProps3.xml><?xml version="1.0" encoding="utf-8"?>
<ds:datastoreItem xmlns:ds="http://schemas.openxmlformats.org/officeDocument/2006/customXml" ds:itemID="{3A420051-C118-47D3-97FC-B1845FC017BB}"/>
</file>

<file path=customXml/itemProps4.xml><?xml version="1.0" encoding="utf-8"?>
<ds:datastoreItem xmlns:ds="http://schemas.openxmlformats.org/officeDocument/2006/customXml" ds:itemID="{431279EA-6408-4373-AECE-503814FD5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27.01.2016 О признании жилого помещения непригодным  для постоянного проживания </dc:title>
  <dc:creator>Notebook</dc:creator>
  <cp:lastModifiedBy>Notebook</cp:lastModifiedBy>
  <cp:revision>2</cp:revision>
  <cp:lastPrinted>2016-01-27T04:31:00Z</cp:lastPrinted>
  <dcterms:created xsi:type="dcterms:W3CDTF">2016-01-27T04:15:00Z</dcterms:created>
  <dcterms:modified xsi:type="dcterms:W3CDTF">2016-01-27T04:51:00Z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dfa32229-a18c-417f-bad5-21fc97620bf3</vt:lpwstr>
  </property>
  <property fmtid="{D5CDD505-2E9C-101B-9397-08002B2CF9AE}" pid="4" name="TemplateUrl">
    <vt:lpwstr/>
  </property>
  <property fmtid="{D5CDD505-2E9C-101B-9397-08002B2CF9AE}" pid="5" name="Order">
    <vt:r8>10700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